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11" w:rsidRPr="00F32C2C" w:rsidRDefault="00356B21" w:rsidP="00F32C2C">
      <w:pPr>
        <w:pStyle w:val="NoSpacing"/>
        <w:rPr>
          <w:b/>
          <w:color w:val="0070C0"/>
          <w:sz w:val="50"/>
          <w:szCs w:val="50"/>
        </w:rPr>
      </w:pPr>
      <w:r w:rsidRPr="00F32C2C">
        <w:rPr>
          <w:b/>
          <w:color w:val="0070C0"/>
          <w:sz w:val="50"/>
          <w:szCs w:val="50"/>
        </w:rPr>
        <w:t>PIA SINGH</w:t>
      </w:r>
    </w:p>
    <w:p w:rsidR="00F32C2C" w:rsidRDefault="00F32C2C" w:rsidP="00F32C2C">
      <w:pPr>
        <w:pStyle w:val="NoSpacing"/>
        <w:rPr>
          <w:sz w:val="20"/>
        </w:rPr>
      </w:pPr>
      <w:r w:rsidRPr="00D12B25">
        <w:rPr>
          <w:sz w:val="20"/>
        </w:rPr>
        <w:t xml:space="preserve">© +91 9818604872 | </w:t>
      </w:r>
      <w:r w:rsidRPr="00D12B25">
        <w:rPr>
          <w:sz w:val="20"/>
        </w:rPr>
        <w:sym w:font="Wingdings" w:char="F040"/>
      </w:r>
      <w:r w:rsidRPr="00D12B25">
        <w:rPr>
          <w:sz w:val="20"/>
        </w:rPr>
        <w:t>piasinghsabharwal@gmail.com</w:t>
      </w:r>
      <w:r w:rsidR="00D856A5">
        <w:rPr>
          <w:sz w:val="20"/>
        </w:rPr>
        <w:t xml:space="preserve"> | bhatpriyanka86@hotmail.com</w:t>
      </w:r>
    </w:p>
    <w:p w:rsidR="00F32C2C" w:rsidRPr="00F32C2C" w:rsidRDefault="00F32C2C" w:rsidP="00F32C2C">
      <w:pPr>
        <w:pStyle w:val="NoSpacing"/>
        <w:pBdr>
          <w:bottom w:val="single" w:sz="12" w:space="0" w:color="auto"/>
        </w:pBdr>
        <w:rPr>
          <w:sz w:val="2"/>
        </w:rPr>
      </w:pP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  <w:r w:rsidRPr="00F32C2C">
        <w:rPr>
          <w:sz w:val="2"/>
        </w:rPr>
        <w:softHyphen/>
      </w:r>
    </w:p>
    <w:p w:rsidR="00F32C2C" w:rsidRDefault="00F32C2C" w:rsidP="00F32C2C">
      <w:pPr>
        <w:pStyle w:val="NoSpacing"/>
        <w:pBdr>
          <w:top w:val="none" w:sz="0" w:space="0" w:color="auto"/>
        </w:pBdr>
        <w:rPr>
          <w:sz w:val="20"/>
        </w:rPr>
      </w:pPr>
    </w:p>
    <w:p w:rsidR="006E052D" w:rsidRDefault="00356B21">
      <w:pPr>
        <w:pStyle w:val="Heading2"/>
      </w:pPr>
      <w:r>
        <w:t>PROFESSIONAL SUMMARY</w:t>
      </w:r>
    </w:p>
    <w:p w:rsidR="00FF6731" w:rsidRDefault="00FF6731">
      <w:pPr>
        <w:pStyle w:val="Heading2"/>
        <w:rPr>
          <w:rFonts w:ascii="Calibri" w:eastAsia="Calibri" w:hAnsi="Calibri" w:cs="Calibri"/>
          <w:b w:val="0"/>
          <w:color w:val="000000"/>
          <w:sz w:val="22"/>
          <w:szCs w:val="22"/>
        </w:rPr>
      </w:pPr>
      <w:r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>Skilled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6E052D">
        <w:rPr>
          <w:rFonts w:ascii="Calibri" w:eastAsia="Calibri" w:hAnsi="Calibri" w:cs="Calibri"/>
          <w:b w:val="0"/>
          <w:color w:val="000000"/>
          <w:sz w:val="22"/>
          <w:szCs w:val="22"/>
        </w:rPr>
        <w:t>Banking Operations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D856A5">
        <w:rPr>
          <w:rFonts w:ascii="Calibri" w:eastAsia="Calibri" w:hAnsi="Calibri" w:cs="Calibri"/>
          <w:b w:val="0"/>
          <w:color w:val="000000"/>
          <w:sz w:val="22"/>
          <w:szCs w:val="22"/>
        </w:rPr>
        <w:t>Manager with over 9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6E052D">
        <w:rPr>
          <w:rFonts w:ascii="Calibri" w:eastAsia="Calibri" w:hAnsi="Calibri" w:cs="Calibri"/>
          <w:b w:val="0"/>
          <w:color w:val="000000"/>
          <w:sz w:val="22"/>
          <w:szCs w:val="22"/>
        </w:rPr>
        <w:t>years of experience</w:t>
      </w:r>
      <w:r w:rsidR="003E554B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. </w:t>
      </w:r>
      <w:r w:rsidR="006E052D">
        <w:rPr>
          <w:rFonts w:ascii="Calibri" w:eastAsia="Calibri" w:hAnsi="Calibri" w:cs="Calibri"/>
          <w:b w:val="0"/>
          <w:color w:val="000000"/>
          <w:sz w:val="22"/>
          <w:szCs w:val="22"/>
        </w:rPr>
        <w:t>Demonstrated proficiency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in all </w:t>
      </w:r>
      <w:r w:rsid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major aspects of bank management and 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>operation, including account man</w:t>
      </w:r>
      <w:r w:rsid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agement, customer service, team management, risk and change management, regulatory compliance, Quality and Process Improvements; 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combined with exemplary service skills and knowledge of the 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Indian 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banking industry. </w:t>
      </w:r>
    </w:p>
    <w:p w:rsidR="006E052D" w:rsidRDefault="00FF6731">
      <w:pPr>
        <w:pStyle w:val="Heading2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Client – oriented professional d</w:t>
      </w:r>
      <w:r w:rsidR="006E052D" w:rsidRPr="006E052D">
        <w:rPr>
          <w:rFonts w:ascii="Calibri" w:eastAsia="Calibri" w:hAnsi="Calibri" w:cs="Calibri"/>
          <w:b w:val="0"/>
          <w:color w:val="000000"/>
          <w:sz w:val="22"/>
          <w:szCs w:val="22"/>
        </w:rPr>
        <w:t>edicated to effective and innovative management techniques to ensure the success of the branch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operations through continuous improvement.</w:t>
      </w:r>
    </w:p>
    <w:p w:rsidR="00837D11" w:rsidRDefault="0065314F">
      <w:pPr>
        <w:pStyle w:val="Heading2"/>
      </w:pPr>
      <w:r>
        <w:t>EXPERIENCE</w:t>
      </w:r>
    </w:p>
    <w:p w:rsidR="00837D11" w:rsidRDefault="00356B21">
      <w:pPr>
        <w:spacing w:after="0" w:line="240" w:lineRule="auto"/>
      </w:pPr>
      <w:r>
        <w:t>MARCH 2014 – JULY 2014</w:t>
      </w:r>
      <w:r w:rsidR="006E052D">
        <w:t xml:space="preserve"> (4 months)</w:t>
      </w:r>
    </w:p>
    <w:p w:rsidR="00837D11" w:rsidRPr="00356B21" w:rsidRDefault="00356B21">
      <w:pPr>
        <w:spacing w:after="0" w:line="240" w:lineRule="auto"/>
        <w:rPr>
          <w:b/>
        </w:rPr>
      </w:pPr>
      <w:r w:rsidRPr="00356B21">
        <w:rPr>
          <w:b/>
        </w:rPr>
        <w:t>Deputy Manager, BNP Paribas | New Delhi, India</w:t>
      </w:r>
    </w:p>
    <w:p w:rsidR="00837D11" w:rsidRDefault="00837D11">
      <w:pPr>
        <w:spacing w:after="0" w:line="240" w:lineRule="auto"/>
      </w:pPr>
    </w:p>
    <w:p w:rsidR="00837D11" w:rsidRDefault="00356B21">
      <w:pPr>
        <w:spacing w:after="0" w:line="240" w:lineRule="auto"/>
      </w:pPr>
      <w:r>
        <w:t>JUNE 2011 – FEBRUARY 2014</w:t>
      </w:r>
      <w:r w:rsidR="006E052D">
        <w:t xml:space="preserve"> (33 months)</w:t>
      </w:r>
    </w:p>
    <w:p w:rsidR="006B4810" w:rsidRPr="00356B21" w:rsidRDefault="00356B21">
      <w:pPr>
        <w:spacing w:after="0" w:line="240" w:lineRule="auto"/>
        <w:rPr>
          <w:b/>
        </w:rPr>
      </w:pPr>
      <w:r w:rsidRPr="00356B21">
        <w:rPr>
          <w:b/>
        </w:rPr>
        <w:t>Senior Officer, Royal Bank of Scotland | Mumbai &amp; New Delhi, India</w:t>
      </w:r>
    </w:p>
    <w:p w:rsidR="00837D11" w:rsidRPr="00356B21" w:rsidRDefault="00356B21">
      <w:pPr>
        <w:spacing w:after="0" w:line="240" w:lineRule="auto"/>
        <w:rPr>
          <w:b/>
        </w:rPr>
      </w:pPr>
      <w:r w:rsidRPr="00356B21">
        <w:rPr>
          <w:b/>
        </w:rPr>
        <w:t>Assistant Manager, Royal Bank of Scotland | New Delhi, India</w:t>
      </w:r>
    </w:p>
    <w:p w:rsidR="00356B21" w:rsidRDefault="00356B21">
      <w:pPr>
        <w:spacing w:after="0" w:line="240" w:lineRule="auto"/>
      </w:pPr>
    </w:p>
    <w:p w:rsidR="00837D11" w:rsidRDefault="006E052D">
      <w:pPr>
        <w:spacing w:after="0" w:line="240" w:lineRule="auto"/>
      </w:pPr>
      <w:r>
        <w:t>MARCH 2011</w:t>
      </w:r>
      <w:r w:rsidR="00356B21">
        <w:t xml:space="preserve"> – JUNE 2011</w:t>
      </w:r>
      <w:r>
        <w:t xml:space="preserve"> (4 months)</w:t>
      </w:r>
    </w:p>
    <w:p w:rsidR="00987AFA" w:rsidRPr="006B4810" w:rsidRDefault="00356B21" w:rsidP="006B4810">
      <w:pPr>
        <w:spacing w:after="0" w:line="240" w:lineRule="auto"/>
        <w:rPr>
          <w:b/>
        </w:rPr>
      </w:pPr>
      <w:r w:rsidRPr="00356B21">
        <w:rPr>
          <w:b/>
        </w:rPr>
        <w:t>Probationary Officer, State Bank of India | Mumbai, India</w:t>
      </w:r>
    </w:p>
    <w:p w:rsidR="00837D11" w:rsidRDefault="00356B21" w:rsidP="00987AFA">
      <w:pPr>
        <w:spacing w:after="0" w:line="240" w:lineRule="auto"/>
      </w:pPr>
      <w:r>
        <w:t>JANUARY 2009 – NOVEMBER 2010</w:t>
      </w:r>
      <w:r w:rsidR="006E052D">
        <w:t xml:space="preserve"> (23 months)</w:t>
      </w:r>
    </w:p>
    <w:p w:rsidR="00837D11" w:rsidRPr="00356B21" w:rsidRDefault="00356B21">
      <w:pPr>
        <w:spacing w:after="0" w:line="240" w:lineRule="auto"/>
        <w:rPr>
          <w:b/>
        </w:rPr>
      </w:pPr>
      <w:r w:rsidRPr="00356B21">
        <w:rPr>
          <w:b/>
        </w:rPr>
        <w:t>Assistant, State Bank of India | Uttar Pradesh</w:t>
      </w:r>
    </w:p>
    <w:p w:rsidR="006B4810" w:rsidRDefault="006B4810">
      <w:pPr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noProof/>
        </w:rPr>
        <w:drawing>
          <wp:inline distT="0" distB="0" distL="0" distR="0" wp14:anchorId="68A4D8E1" wp14:editId="17212AC6">
            <wp:extent cx="5979560" cy="3195263"/>
            <wp:effectExtent l="0" t="0" r="254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br w:type="page"/>
      </w:r>
    </w:p>
    <w:p w:rsidR="00DC4CF5" w:rsidRDefault="00DC4CF5">
      <w:pPr>
        <w:pStyle w:val="Heading2"/>
      </w:pPr>
      <w:r>
        <w:lastRenderedPageBreak/>
        <w:t>CORE COMPETENCIES</w:t>
      </w:r>
    </w:p>
    <w:p w:rsidR="00DC4CF5" w:rsidRPr="00DC4CF5" w:rsidRDefault="00DC4CF5" w:rsidP="00DC4CF5">
      <w:r>
        <w:rPr>
          <w:noProof/>
        </w:rPr>
        <w:drawing>
          <wp:inline distT="0" distB="0" distL="0" distR="0">
            <wp:extent cx="6380252" cy="3195263"/>
            <wp:effectExtent l="0" t="0" r="1905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7D11" w:rsidRDefault="00356B21">
      <w:pPr>
        <w:pStyle w:val="Heading2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168B" w:rsidTr="00A5168B">
        <w:tc>
          <w:tcPr>
            <w:tcW w:w="4788" w:type="dxa"/>
          </w:tcPr>
          <w:p w:rsidR="00A5168B" w:rsidRDefault="00A5168B" w:rsidP="00A5168B">
            <w:pPr>
              <w:rPr>
                <w:b/>
              </w:rPr>
            </w:pPr>
            <w:r>
              <w:rPr>
                <w:b/>
              </w:rPr>
              <w:t>2006 - 2009</w:t>
            </w:r>
          </w:p>
          <w:p w:rsidR="00A5168B" w:rsidRDefault="00A5168B" w:rsidP="00A5168B">
            <w:pPr>
              <w:rPr>
                <w:i/>
              </w:rPr>
            </w:pPr>
            <w:r>
              <w:rPr>
                <w:i/>
              </w:rPr>
              <w:t>BBA : General Management</w:t>
            </w:r>
          </w:p>
          <w:p w:rsidR="00A5168B" w:rsidRDefault="00A5168B" w:rsidP="00A5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proofErr w:type="spellStart"/>
            <w:r>
              <w:t>Annamalai</w:t>
            </w:r>
            <w:proofErr w:type="spellEnd"/>
            <w:r>
              <w:t xml:space="preserve"> University</w:t>
            </w:r>
          </w:p>
        </w:tc>
        <w:tc>
          <w:tcPr>
            <w:tcW w:w="4788" w:type="dxa"/>
          </w:tcPr>
          <w:p w:rsidR="00A5168B" w:rsidRDefault="00A5168B" w:rsidP="00A5168B">
            <w:pPr>
              <w:rPr>
                <w:b/>
              </w:rPr>
            </w:pPr>
            <w:r>
              <w:rPr>
                <w:b/>
              </w:rPr>
              <w:t>2018 - 2020</w:t>
            </w:r>
          </w:p>
          <w:p w:rsidR="00A5168B" w:rsidRDefault="00A5168B" w:rsidP="00A5168B">
            <w:pPr>
              <w:rPr>
                <w:i/>
              </w:rPr>
            </w:pPr>
            <w:r>
              <w:rPr>
                <w:i/>
              </w:rPr>
              <w:t>MBA : HRM</w:t>
            </w:r>
          </w:p>
          <w:p w:rsidR="00A5168B" w:rsidRDefault="00A5168B" w:rsidP="00A5168B">
            <w:proofErr w:type="spellStart"/>
            <w:r>
              <w:t>Annamalai</w:t>
            </w:r>
            <w:proofErr w:type="spellEnd"/>
            <w:r>
              <w:t xml:space="preserve"> University</w:t>
            </w:r>
          </w:p>
        </w:tc>
      </w:tr>
    </w:tbl>
    <w:p w:rsidR="00837D11" w:rsidRDefault="00356B21">
      <w:pPr>
        <w:pStyle w:val="Heading2"/>
      </w:pPr>
      <w:r>
        <w:t>VOLUNTEERING ACTIVITIES</w:t>
      </w:r>
    </w:p>
    <w:p w:rsidR="00837D11" w:rsidRDefault="00987AFA">
      <w:pPr>
        <w:numPr>
          <w:ilvl w:val="0"/>
          <w:numId w:val="14"/>
        </w:numPr>
        <w:spacing w:after="0" w:line="240" w:lineRule="auto"/>
      </w:pPr>
      <w:r>
        <w:t>Volunteer with</w:t>
      </w:r>
      <w:r w:rsidR="00356B21">
        <w:t xml:space="preserve"> Non-Profit Organization “</w:t>
      </w:r>
      <w:proofErr w:type="spellStart"/>
      <w:r>
        <w:t>Unnati</w:t>
      </w:r>
      <w:proofErr w:type="spellEnd"/>
      <w:r w:rsidR="00356B21">
        <w:t>”, an NGO working in the sector of awareness generation and fund raising in the Education &amp; Health sector for Rural Development</w:t>
      </w:r>
    </w:p>
    <w:p w:rsidR="00837D11" w:rsidRDefault="00987AFA">
      <w:pPr>
        <w:numPr>
          <w:ilvl w:val="0"/>
          <w:numId w:val="14"/>
        </w:numPr>
        <w:spacing w:after="0" w:line="240" w:lineRule="auto"/>
      </w:pPr>
      <w:r>
        <w:t>CSR activities in</w:t>
      </w:r>
      <w:r w:rsidR="00356B21">
        <w:t xml:space="preserve"> Royal Bank of Scotland</w:t>
      </w:r>
    </w:p>
    <w:p w:rsidR="00837D11" w:rsidRDefault="00356B21">
      <w:pPr>
        <w:pStyle w:val="Heading2"/>
      </w:pPr>
      <w:r>
        <w:t>PROJECTS</w:t>
      </w:r>
    </w:p>
    <w:p w:rsidR="00837D11" w:rsidRDefault="00356B21">
      <w:pPr>
        <w:spacing w:after="0" w:line="240" w:lineRule="auto"/>
        <w:rPr>
          <w:b/>
        </w:rPr>
      </w:pPr>
      <w:r w:rsidRPr="00356B21">
        <w:rPr>
          <w:b/>
        </w:rPr>
        <w:t>Royal Bank of Scotland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168B" w:rsidTr="00A5168B"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13"/>
              </w:numPr>
            </w:pPr>
            <w:r>
              <w:t>Process Migration, Reconciliations (Chennai to Delhi)</w:t>
            </w:r>
          </w:p>
          <w:p w:rsidR="00A5168B" w:rsidRDefault="00A5168B" w:rsidP="00A5168B">
            <w:pPr>
              <w:numPr>
                <w:ilvl w:val="0"/>
                <w:numId w:val="13"/>
              </w:numPr>
            </w:pPr>
            <w:r>
              <w:t xml:space="preserve">Promotion of </w:t>
            </w:r>
            <w:r w:rsidR="006B4810">
              <w:t>P360® Survey including Creative development, group communications,</w:t>
            </w:r>
            <w:r>
              <w:t xml:space="preserve"> and Information Management (Delhi, Mumbai &amp; Chennai)</w:t>
            </w:r>
          </w:p>
          <w:p w:rsidR="00A5168B" w:rsidRDefault="00A5168B" w:rsidP="00A5168B">
            <w:pPr>
              <w:numPr>
                <w:ilvl w:val="0"/>
                <w:numId w:val="13"/>
              </w:numPr>
            </w:pPr>
            <w:r>
              <w:t>Active participant in CSR activities</w:t>
            </w:r>
          </w:p>
          <w:p w:rsidR="00A5168B" w:rsidRPr="00A5168B" w:rsidRDefault="00A5168B" w:rsidP="00A5168B">
            <w:pPr>
              <w:numPr>
                <w:ilvl w:val="0"/>
                <w:numId w:val="13"/>
              </w:numPr>
            </w:pPr>
            <w:r>
              <w:t>Implementation of 5S tool for Group Services</w:t>
            </w:r>
          </w:p>
        </w:tc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13"/>
              </w:numPr>
            </w:pPr>
            <w:r>
              <w:t xml:space="preserve">Technology </w:t>
            </w:r>
            <w:proofErr w:type="spellStart"/>
            <w:r>
              <w:t>Upgradation</w:t>
            </w:r>
            <w:proofErr w:type="spellEnd"/>
            <w:r>
              <w:t xml:space="preserve"> &amp; Automation for the branch network in Advisory and Solution Delivery Department (Pan India – 18 branches)</w:t>
            </w:r>
          </w:p>
          <w:p w:rsidR="00A5168B" w:rsidRPr="00A5168B" w:rsidRDefault="00A5168B" w:rsidP="006B4810">
            <w:pPr>
              <w:numPr>
                <w:ilvl w:val="0"/>
                <w:numId w:val="13"/>
              </w:numPr>
            </w:pPr>
            <w:r>
              <w:t xml:space="preserve">Process Improvement &amp; </w:t>
            </w:r>
            <w:r w:rsidR="006B4810">
              <w:t>review</w:t>
            </w:r>
            <w:r>
              <w:t xml:space="preserve"> for the branch network in Advisory and Solution Delivery Department (Pan India – 18 branches)</w:t>
            </w:r>
          </w:p>
        </w:tc>
      </w:tr>
    </w:tbl>
    <w:p w:rsidR="00A5168B" w:rsidRDefault="00A5168B">
      <w:pPr>
        <w:spacing w:after="0" w:line="240" w:lineRule="auto"/>
        <w:rPr>
          <w:b/>
        </w:rPr>
      </w:pPr>
    </w:p>
    <w:p w:rsidR="00837D11" w:rsidRPr="00356B21" w:rsidRDefault="00356B21">
      <w:pPr>
        <w:spacing w:after="0" w:line="240" w:lineRule="auto"/>
        <w:rPr>
          <w:b/>
        </w:rPr>
      </w:pPr>
      <w:r w:rsidRPr="00356B21">
        <w:rPr>
          <w:b/>
        </w:rPr>
        <w:t>BNP Paribas</w:t>
      </w:r>
    </w:p>
    <w:p w:rsidR="00837D11" w:rsidRDefault="00356B21">
      <w:pPr>
        <w:numPr>
          <w:ilvl w:val="0"/>
          <w:numId w:val="13"/>
        </w:numPr>
        <w:spacing w:after="0" w:line="240" w:lineRule="auto"/>
      </w:pPr>
      <w:r>
        <w:t>Implementation of 5S tool for branch</w:t>
      </w:r>
    </w:p>
    <w:p w:rsidR="00837D11" w:rsidRDefault="00837D11">
      <w:pPr>
        <w:spacing w:after="0" w:line="240" w:lineRule="auto"/>
      </w:pPr>
    </w:p>
    <w:p w:rsidR="00987AFA" w:rsidRDefault="00987AFA" w:rsidP="00987AFA">
      <w:pPr>
        <w:pStyle w:val="Heading2"/>
      </w:pPr>
      <w:r>
        <w:lastRenderedPageBreak/>
        <w:t>CERTIFICATIONS</w:t>
      </w:r>
    </w:p>
    <w:p w:rsidR="00987AFA" w:rsidRDefault="00987AFA" w:rsidP="00987AFA">
      <w:pPr>
        <w:spacing w:after="0" w:line="240" w:lineRule="auto"/>
        <w:rPr>
          <w:b/>
        </w:rPr>
      </w:pPr>
      <w:r w:rsidRPr="00356B21">
        <w:rPr>
          <w:b/>
        </w:rPr>
        <w:t>Indian Institute of Banking &amp; Finance, India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168B" w:rsidTr="00A5168B"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5"/>
              </w:numPr>
            </w:pPr>
            <w:r>
              <w:t>Junior Associate of the Indian Institute of Bankers</w:t>
            </w:r>
          </w:p>
          <w:p w:rsidR="00A5168B" w:rsidRPr="00A5168B" w:rsidRDefault="00A5168B" w:rsidP="00A5168B">
            <w:pPr>
              <w:numPr>
                <w:ilvl w:val="0"/>
                <w:numId w:val="5"/>
              </w:numPr>
            </w:pPr>
            <w:r>
              <w:t>Certified Associate of the Indian Institute of Bankers</w:t>
            </w:r>
          </w:p>
        </w:tc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5"/>
              </w:numPr>
            </w:pPr>
            <w:r>
              <w:t>Know Your Customer &amp; Anti Money Laundering</w:t>
            </w:r>
          </w:p>
          <w:p w:rsidR="00A5168B" w:rsidRPr="00A5168B" w:rsidRDefault="00A5168B" w:rsidP="00A5168B">
            <w:pPr>
              <w:numPr>
                <w:ilvl w:val="0"/>
                <w:numId w:val="5"/>
              </w:numPr>
            </w:pPr>
            <w:r>
              <w:t>Customer Service and Banking Codes &amp; Standards</w:t>
            </w:r>
          </w:p>
        </w:tc>
      </w:tr>
    </w:tbl>
    <w:p w:rsidR="00987AFA" w:rsidRDefault="00987AFA" w:rsidP="00A5168B">
      <w:pPr>
        <w:spacing w:after="0" w:line="240" w:lineRule="auto"/>
      </w:pPr>
    </w:p>
    <w:p w:rsidR="00987AFA" w:rsidRPr="00356B21" w:rsidRDefault="00987AFA" w:rsidP="00987AFA">
      <w:pPr>
        <w:spacing w:after="0" w:line="240" w:lineRule="auto"/>
        <w:rPr>
          <w:b/>
        </w:rPr>
      </w:pPr>
      <w:r w:rsidRPr="00356B21">
        <w:rPr>
          <w:b/>
        </w:rPr>
        <w:t>International Trade Centre, Geneva</w:t>
      </w:r>
      <w:r>
        <w:rPr>
          <w:b/>
        </w:rPr>
        <w:t xml:space="preserve"> in association with Indian Institute of Materials Management</w:t>
      </w:r>
    </w:p>
    <w:p w:rsidR="00987AFA" w:rsidRDefault="00987AFA" w:rsidP="00987AFA">
      <w:pPr>
        <w:numPr>
          <w:ilvl w:val="0"/>
          <w:numId w:val="7"/>
        </w:numPr>
        <w:spacing w:after="0" w:line="240" w:lineRule="auto"/>
      </w:pPr>
      <w:r>
        <w:t>International Certification in Supply Chain Management</w:t>
      </w:r>
    </w:p>
    <w:p w:rsidR="00987AFA" w:rsidRDefault="00987AFA" w:rsidP="00987AFA">
      <w:pPr>
        <w:numPr>
          <w:ilvl w:val="0"/>
          <w:numId w:val="7"/>
        </w:numPr>
        <w:spacing w:after="0" w:line="240" w:lineRule="auto"/>
      </w:pPr>
      <w:r>
        <w:t>Diploma in Supply Chain Management</w:t>
      </w:r>
    </w:p>
    <w:p w:rsidR="00987AFA" w:rsidRDefault="00987AFA" w:rsidP="00987AFA">
      <w:pPr>
        <w:numPr>
          <w:ilvl w:val="0"/>
          <w:numId w:val="7"/>
        </w:numPr>
        <w:spacing w:after="0" w:line="240" w:lineRule="auto"/>
      </w:pPr>
      <w:r>
        <w:t>Advanced International Certification in Supply Chain Management</w:t>
      </w:r>
    </w:p>
    <w:p w:rsidR="00987AFA" w:rsidRDefault="00987AFA" w:rsidP="00987AFA">
      <w:pPr>
        <w:spacing w:after="0" w:line="240" w:lineRule="auto"/>
        <w:rPr>
          <w:b/>
        </w:rPr>
      </w:pPr>
      <w:r w:rsidRPr="00356B21">
        <w:rPr>
          <w:b/>
        </w:rPr>
        <w:t>Harvard Manage Mentor</w:t>
      </w:r>
      <w:r>
        <w:rPr>
          <w:b/>
        </w:rPr>
        <w:t xml:space="preserve"> – Internal Trainings in Royal Bank of Scotland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168B" w:rsidTr="00A5168B"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Team Management</w:t>
            </w:r>
          </w:p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Decision Making</w:t>
            </w:r>
          </w:p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Career Management</w:t>
            </w:r>
          </w:p>
          <w:p w:rsidR="00A5168B" w:rsidRPr="00A5168B" w:rsidRDefault="00A5168B" w:rsidP="00A5168B">
            <w:pPr>
              <w:numPr>
                <w:ilvl w:val="0"/>
                <w:numId w:val="10"/>
              </w:numPr>
            </w:pPr>
            <w:r>
              <w:t>Customer Focus</w:t>
            </w:r>
          </w:p>
        </w:tc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Writing Skills</w:t>
            </w:r>
          </w:p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Leading &amp; Motivating</w:t>
            </w:r>
          </w:p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Process Improvement</w:t>
            </w:r>
          </w:p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Feedback Essentials</w:t>
            </w:r>
          </w:p>
          <w:p w:rsidR="00A5168B" w:rsidRPr="00A5168B" w:rsidRDefault="00A5168B" w:rsidP="00A5168B">
            <w:pPr>
              <w:numPr>
                <w:ilvl w:val="0"/>
                <w:numId w:val="10"/>
              </w:numPr>
            </w:pPr>
            <w:r>
              <w:t>Change Management</w:t>
            </w:r>
          </w:p>
        </w:tc>
      </w:tr>
    </w:tbl>
    <w:p w:rsidR="00837D11" w:rsidRDefault="00356B21">
      <w:pPr>
        <w:pStyle w:val="Heading2"/>
      </w:pPr>
      <w:r>
        <w:t>AFFILIATIONS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168B" w:rsidTr="00A5168B"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Trainer - International Trade Centre, Geneva</w:t>
            </w:r>
          </w:p>
        </w:tc>
        <w:tc>
          <w:tcPr>
            <w:tcW w:w="4788" w:type="dxa"/>
          </w:tcPr>
          <w:p w:rsidR="00A5168B" w:rsidRDefault="00A5168B" w:rsidP="00A5168B">
            <w:pPr>
              <w:numPr>
                <w:ilvl w:val="0"/>
                <w:numId w:val="10"/>
              </w:numPr>
            </w:pPr>
            <w:r>
              <w:t>Certified Member - Indian Institute of Bankers</w:t>
            </w:r>
          </w:p>
        </w:tc>
      </w:tr>
    </w:tbl>
    <w:p w:rsidR="00837D11" w:rsidRDefault="00356B21">
      <w:pPr>
        <w:pStyle w:val="Heading2"/>
      </w:pPr>
      <w:r>
        <w:t>WORKSHOPS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5168B" w:rsidTr="006E052D">
        <w:tc>
          <w:tcPr>
            <w:tcW w:w="4788" w:type="dxa"/>
          </w:tcPr>
          <w:p w:rsidR="00A5168B" w:rsidRDefault="006E052D" w:rsidP="006E052D">
            <w:pPr>
              <w:numPr>
                <w:ilvl w:val="0"/>
                <w:numId w:val="10"/>
              </w:numPr>
            </w:pPr>
            <w:r>
              <w:t>Situational Frontline Leadership - Ken Blanchard Companies</w:t>
            </w:r>
          </w:p>
        </w:tc>
        <w:tc>
          <w:tcPr>
            <w:tcW w:w="4788" w:type="dxa"/>
          </w:tcPr>
          <w:p w:rsidR="00A5168B" w:rsidRDefault="006E052D" w:rsidP="006E052D">
            <w:pPr>
              <w:numPr>
                <w:ilvl w:val="0"/>
                <w:numId w:val="10"/>
              </w:numPr>
            </w:pPr>
            <w:r>
              <w:t>Handling Difficult Interactions - Royal Bank of Scotland - Learning Academy</w:t>
            </w:r>
          </w:p>
        </w:tc>
      </w:tr>
    </w:tbl>
    <w:p w:rsidR="00837D11" w:rsidRDefault="00356B21">
      <w:pPr>
        <w:pStyle w:val="Heading2"/>
      </w:pPr>
      <w:r>
        <w:t>REFERENCE</w:t>
      </w:r>
    </w:p>
    <w:p w:rsidR="00837D11" w:rsidRDefault="00356B21">
      <w:pPr>
        <w:spacing w:after="0" w:line="240" w:lineRule="auto"/>
      </w:pPr>
      <w:r>
        <w:t>Available on request</w:t>
      </w:r>
      <w:bookmarkStart w:id="0" w:name="_GoBack"/>
      <w:bookmarkEnd w:id="0"/>
    </w:p>
    <w:sectPr w:rsidR="00837D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676"/>
    <w:multiLevelType w:val="multilevel"/>
    <w:tmpl w:val="7958C4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74713C"/>
    <w:multiLevelType w:val="multilevel"/>
    <w:tmpl w:val="99E2E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C072CD1"/>
    <w:multiLevelType w:val="multilevel"/>
    <w:tmpl w:val="ED80F59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8F1F23"/>
    <w:multiLevelType w:val="multilevel"/>
    <w:tmpl w:val="63260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F3B4EC1"/>
    <w:multiLevelType w:val="multilevel"/>
    <w:tmpl w:val="04C07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B162E7D"/>
    <w:multiLevelType w:val="multilevel"/>
    <w:tmpl w:val="41C22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32A227C4"/>
    <w:multiLevelType w:val="multilevel"/>
    <w:tmpl w:val="8468E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EE0E96"/>
    <w:multiLevelType w:val="multilevel"/>
    <w:tmpl w:val="71949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71C70DF"/>
    <w:multiLevelType w:val="multilevel"/>
    <w:tmpl w:val="D436C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3C210F9F"/>
    <w:multiLevelType w:val="multilevel"/>
    <w:tmpl w:val="EFC4C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05D747B"/>
    <w:multiLevelType w:val="multilevel"/>
    <w:tmpl w:val="AC5CC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44943173"/>
    <w:multiLevelType w:val="multilevel"/>
    <w:tmpl w:val="81D8E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50A76900"/>
    <w:multiLevelType w:val="multilevel"/>
    <w:tmpl w:val="CF6CF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6F387D56"/>
    <w:multiLevelType w:val="multilevel"/>
    <w:tmpl w:val="21F66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70C45904"/>
    <w:multiLevelType w:val="multilevel"/>
    <w:tmpl w:val="582AD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7D11"/>
    <w:rsid w:val="00041953"/>
    <w:rsid w:val="00151813"/>
    <w:rsid w:val="00356B21"/>
    <w:rsid w:val="0036396F"/>
    <w:rsid w:val="003E554B"/>
    <w:rsid w:val="004C0DF7"/>
    <w:rsid w:val="0065314F"/>
    <w:rsid w:val="006B4810"/>
    <w:rsid w:val="006E052D"/>
    <w:rsid w:val="006E3ED9"/>
    <w:rsid w:val="00837D11"/>
    <w:rsid w:val="00874FD7"/>
    <w:rsid w:val="008879B7"/>
    <w:rsid w:val="0092247B"/>
    <w:rsid w:val="0096571A"/>
    <w:rsid w:val="00987AFA"/>
    <w:rsid w:val="00A5168B"/>
    <w:rsid w:val="00A53DF1"/>
    <w:rsid w:val="00AE51BC"/>
    <w:rsid w:val="00B636F9"/>
    <w:rsid w:val="00BE61B1"/>
    <w:rsid w:val="00D0431D"/>
    <w:rsid w:val="00D12B25"/>
    <w:rsid w:val="00D856A5"/>
    <w:rsid w:val="00DB10D7"/>
    <w:rsid w:val="00DC4CF5"/>
    <w:rsid w:val="00F32C2C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32C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96F"/>
    <w:pPr>
      <w:ind w:left="720"/>
      <w:contextualSpacing/>
    </w:pPr>
  </w:style>
  <w:style w:type="table" w:styleId="TableGrid">
    <w:name w:val="Table Grid"/>
    <w:basedOn w:val="TableNormal"/>
    <w:uiPriority w:val="59"/>
    <w:rsid w:val="0098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32C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96F"/>
    <w:pPr>
      <w:ind w:left="720"/>
      <w:contextualSpacing/>
    </w:pPr>
  </w:style>
  <w:style w:type="table" w:styleId="TableGrid">
    <w:name w:val="Table Grid"/>
    <w:basedOn w:val="TableNormal"/>
    <w:uiPriority w:val="59"/>
    <w:rsid w:val="0098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Branch Operations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Sheet1!$A$2:$A$6</c:f>
              <c:strCache>
                <c:ptCount val="5"/>
                <c:pt idx="0">
                  <c:v>Clearing</c:v>
                </c:pt>
                <c:pt idx="1">
                  <c:v>Advances</c:v>
                </c:pt>
                <c:pt idx="2">
                  <c:v>Trade Operations</c:v>
                </c:pt>
                <c:pt idx="3">
                  <c:v>Regulatory Compliance &amp; Audits</c:v>
                </c:pt>
                <c:pt idx="4">
                  <c:v>Cash and Payments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50</c:v>
                </c:pt>
                <c:pt idx="1">
                  <c:v>80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Sheet1!$A$2:$A$11</c:f>
              <c:strCache>
                <c:ptCount val="10"/>
                <c:pt idx="0">
                  <c:v>Work Life Balance</c:v>
                </c:pt>
                <c:pt idx="1">
                  <c:v>Training &amp; Coaching</c:v>
                </c:pt>
                <c:pt idx="2">
                  <c:v>Business Planning &amp; Forecasting</c:v>
                </c:pt>
                <c:pt idx="3">
                  <c:v>Customer Relationship Management</c:v>
                </c:pt>
                <c:pt idx="4">
                  <c:v>Team Management &amp; Appraisals</c:v>
                </c:pt>
                <c:pt idx="5">
                  <c:v>Budgeting and Fund Allocation</c:v>
                </c:pt>
                <c:pt idx="6">
                  <c:v>Lean &amp; Continuous Improvement</c:v>
                </c:pt>
                <c:pt idx="7">
                  <c:v>Grievance Redressal</c:v>
                </c:pt>
                <c:pt idx="8">
                  <c:v>Reputation &amp; Change Management</c:v>
                </c:pt>
                <c:pt idx="9">
                  <c:v>Risk Management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80</c:v>
                </c:pt>
                <c:pt idx="1">
                  <c:v>90</c:v>
                </c:pt>
                <c:pt idx="2">
                  <c:v>90</c:v>
                </c:pt>
                <c:pt idx="3">
                  <c:v>100</c:v>
                </c:pt>
                <c:pt idx="4">
                  <c:v>100</c:v>
                </c:pt>
                <c:pt idx="5">
                  <c:v>90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2019-04-25T03:41:00Z</dcterms:created>
  <dcterms:modified xsi:type="dcterms:W3CDTF">2019-05-17T15:11:00Z</dcterms:modified>
</cp:coreProperties>
</file>